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center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Fourniture de gaz, location et maintenance d’installations associées au profit de l’Unité Nationale de Police Judiciaire de la Gendarmerie Nationale (UNPJ-GN) à Cergy-Pontoise</w:t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Cadre de réponse technique</w:t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du lot n°1 – Dépôt, location et maintenance d’un réservoir d’azote liquide et approvisionnement de l’azote liquide </w:t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bidi w:val="0"/>
              <w:ind w:hanging="0" w:left="113" w:right="113"/>
              <w:jc w:val="left"/>
              <w:rPr>
                <w:color w:val="FF0000"/>
              </w:rPr>
            </w:pPr>
            <w:r>
              <w:rPr>
                <w:color w:val="FF0000"/>
                <w:u w:val="single"/>
              </w:rPr>
              <w:t>Consignes de remplissage :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Ce cadre de réponse technique a pour objectif de permettre la notation des critères de jugement n°2, 3 et 4 (sur 40 points) du lot n°1 mentionnés à l’article</w:t>
            </w:r>
            <w:r>
              <w:rPr>
                <w:rFonts w:ascii="Times New Roman" w:hAnsi="Times New Roman"/>
                <w:color w:val="00A93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15.3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du règlement de consultation.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est donc nécessaire d’apporter une attention toute particulière à son remplissage.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candidat devra indiquer sa réponse dans les cadres prévus à cet effet (la taille des cadres est modulable).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Toutefois,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le nombre total de pages du cadre de réponse technique ne devra pas excéder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u w:val="single"/>
                <w:shd w:fill="auto" w:val="clear"/>
              </w:rPr>
              <w:t>4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u w:val="single"/>
              </w:rPr>
              <w:t>0</w:t>
            </w: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  <w:u w:val="single"/>
              </w:rPr>
              <w:t xml:space="preserve"> pa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ges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(y compris annexes, hors page de garde et sommaire). Toute page au-delà de cette limite ne sera pas prise en compte dans la notation.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color w:val="auto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</w:rPr>
              <w:t>Tout document complémentaire à ce cadre de réponse technique ne sera pas étudié.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auto"/>
                <w:sz w:val="22"/>
                <w:szCs w:val="22"/>
                <w:u w:val="single"/>
              </w:rPr>
              <w:t>Les rubriques et la police affectées à ce document ne doivent en aucun cas être modifiées pour préserver l’égalité de traitement des candidats.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b/>
                <w:bCs/>
                <w:u w:val="none"/>
              </w:rPr>
            </w:pPr>
            <w:r>
              <w:rPr>
                <w:b/>
                <w:bCs/>
                <w:u w:val="none"/>
              </w:rPr>
            </w:r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134" w:right="1134" w:gutter="0" w:header="0" w:top="1134" w:footer="1191" w:bottom="1444"/>
          <w:pgNumType w:fmt="none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bidi w:val="0"/>
        <w:spacing w:before="0" w:after="283"/>
        <w:jc w:val="center"/>
        <w:rPr>
          <w:highlight w:val="none"/>
          <w:shd w:fill="DDDDDD" w:val="clear"/>
        </w:rPr>
      </w:pPr>
      <w:r>
        <w:rPr>
          <w:rFonts w:ascii="Times New Roman" w:hAnsi="Times New Roman"/>
          <w:b/>
          <w:bCs/>
          <w:sz w:val="22"/>
          <w:szCs w:val="22"/>
          <w:shd w:fill="DDDDDD" w:val="clear"/>
        </w:rPr>
        <w:t xml:space="preserve">Évaluation Technique du </w:t>
      </w:r>
      <w:r>
        <w:rPr>
          <w:rFonts w:ascii="Times New Roman" w:hAnsi="Times New Roman"/>
          <w:b/>
          <w:bCs/>
          <w:color w:val="000000"/>
          <w:sz w:val="22"/>
          <w:szCs w:val="22"/>
          <w:shd w:fill="DDDDDD" w:val="clear"/>
        </w:rPr>
        <w:t>candidat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Critère 2 : Exploitation, maintenance et continuité de service : 20 points 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103"/>
        <w:jc w:val="both"/>
        <w:rPr/>
      </w:pPr>
      <w:r>
        <w:rPr>
          <w:rStyle w:val="Policepardfaut"/>
          <w:rFonts w:cs="Arial" w:ascii="Times New Roman" w:hAnsi="Times New Roman"/>
          <w:b/>
          <w:bCs/>
          <w:color w:val="auto"/>
          <w:sz w:val="20"/>
          <w:szCs w:val="20"/>
          <w:u w:val="none"/>
        </w:rPr>
        <w:t>SC1. Garanties apportées en termes d’organisation de la maintenance – préventive et curative</w:t>
      </w:r>
      <w:r>
        <w:rPr>
          <w:rStyle w:val="Policepardfaut"/>
          <w:rFonts w:cs="Arial" w:ascii="Times New Roman" w:hAnsi="Times New Roman"/>
          <w:b/>
          <w:bCs/>
          <w:color w:val="000000"/>
          <w:sz w:val="20"/>
          <w:szCs w:val="20"/>
          <w:u w:val="none"/>
        </w:rPr>
        <w:t xml:space="preserve"> sur 10 points.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Le soumissionnaire devra détailler 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son organisation pour la maintenance préventive et curative du réservoir d’azote liquide (planning, contenu...),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la fréquence et la nature des interventions,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les délais d’intervention en cas d’incident,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les moyens humains et matériels mobilisés,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>- les outils de suivi et de traçabilité.</w:t>
      </w:r>
    </w:p>
    <w:p>
      <w:pPr>
        <w:pStyle w:val="PrformatHTML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PrformatHTML"/>
        <w:widowControl w:val="false"/>
        <w:bidi w:val="0"/>
        <w:spacing w:lineRule="auto" w:line="240" w:before="227" w:after="0"/>
        <w:ind w:hanging="0" w:left="0" w:right="170"/>
        <w:jc w:val="both"/>
        <w:rPr>
          <w:rStyle w:val="Policepardfaut"/>
          <w:rFonts w:ascii="Times New Roman" w:hAnsi="Times New Roman" w:cs="Arial"/>
          <w:sz w:val="20"/>
          <w:szCs w:val="20"/>
          <w:u w:val="single"/>
        </w:rPr>
      </w:pPr>
      <w:r>
        <w:rPr>
          <w:rFonts w:cs="Arial" w:ascii="Times New Roman" w:hAnsi="Times New Roman"/>
          <w:sz w:val="20"/>
          <w:szCs w:val="20"/>
          <w:u w:val="single"/>
        </w:rPr>
      </w:r>
    </w:p>
    <w:p>
      <w:pPr>
        <w:pStyle w:val="PrformatHTML"/>
        <w:widowControl w:val="false"/>
        <w:bidi w:val="0"/>
        <w:spacing w:lineRule="auto" w:line="240" w:before="227" w:after="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Style w:val="Policepardfaut"/>
          <w:rFonts w:cs="Arial" w:ascii="Times New Roman" w:hAnsi="Times New Roman"/>
          <w:b/>
          <w:bCs/>
          <w:sz w:val="20"/>
          <w:szCs w:val="20"/>
          <w:u w:val="single"/>
        </w:rPr>
        <w:t>SC2. Engagements du soumissionnaire en matière de fiabilité de l’approvisionnement et de la logistique de livraison sur 10 points.</w:t>
      </w:r>
    </w:p>
    <w:p>
      <w:pPr>
        <w:pStyle w:val="PrformatHTML"/>
        <w:rPr>
          <w:rFonts w:ascii="Times New Roman" w:hAnsi="Times New Roman" w:eastAsia="Calibri" w:cs="Marianne"/>
          <w:bCs/>
          <w:sz w:val="20"/>
          <w:szCs w:val="20"/>
          <w:lang w:eastAsia="en-US"/>
        </w:rPr>
      </w:pPr>
      <w:r>
        <w:rPr>
          <w:rFonts w:eastAsia="Calibri" w:cs="Marianne" w:ascii="Times New Roman" w:hAnsi="Times New Roman"/>
          <w:bCs/>
          <w:sz w:val="20"/>
          <w:szCs w:val="20"/>
          <w:lang w:eastAsia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 w:eastAsia="Calibri" w:cs="Arial"/>
          <w:bCs/>
          <w:sz w:val="20"/>
          <w:szCs w:val="20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 soumissionnaire devra détailler sa capacité à assurer un approvisionnement fiable et régulier en azote liquide, incluant : </w:t>
        <w:br/>
        <w:t>- la planification et la fréquence des livraisons,</w:t>
        <w:br/>
        <w:t>- les moyens logistiques mobilisés pour garantir la sécurité et l’efficacité du transport,</w:t>
        <w:br/>
        <w:t xml:space="preserve">- les procédures mises en place pour gérer les imprévus et assurer la continuité de service. </w:t>
      </w:r>
    </w:p>
    <w:p>
      <w:pPr>
        <w:pStyle w:val="PrformatHTML"/>
        <w:rPr>
          <w:b/>
          <w:bCs/>
          <w:u w:val="single"/>
        </w:rPr>
      </w:pPr>
      <w:r>
        <w:rPr>
          <w:b/>
          <w:bCs/>
          <w:u w:val="single"/>
        </w:rPr>
      </w:r>
    </w:p>
    <w:p>
      <w:pPr>
        <w:pStyle w:val="PrformatHTML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Style w:val="Policepardfaut"/>
          <w:rFonts w:ascii="Times New Roman" w:hAnsi="Times New Roman" w:cs="Arial"/>
          <w:b/>
          <w:bCs/>
          <w:sz w:val="22"/>
          <w:szCs w:val="22"/>
          <w:u w:val="single"/>
        </w:rPr>
      </w:pPr>
      <w:r>
        <w:rPr>
          <w:rFonts w:cs="Arial" w:ascii="Times New Roman" w:hAnsi="Times New Roman"/>
          <w:b/>
          <w:bCs/>
          <w:sz w:val="22"/>
          <w:szCs w:val="22"/>
          <w:u w:val="single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Critère 3 : Qualité technique des équipements : 15 points</w:t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Contenudetableau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0"/>
          <w:szCs w:val="20"/>
          <w:u w:val="none"/>
        </w:rPr>
        <w:t>Garanties apportées en termes de caractéristiques techniques, performance et durabilité du réservoir d’azote liquide sur 15 points</w:t>
      </w:r>
      <w:r>
        <w:rPr>
          <w:rFonts w:cs="Arial" w:ascii="Times New Roman" w:hAnsi="Times New Roman"/>
          <w:b/>
          <w:bCs/>
          <w:sz w:val="20"/>
          <w:szCs w:val="20"/>
        </w:rPr>
        <w:t>.</w:t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/>
        </w:rPr>
      </w:pP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Le soumissionnaire </w:t>
      </w:r>
      <w:r>
        <w:rPr>
          <w:rFonts w:eastAsia="Calibri" w:cs="Arial" w:ascii="Times New Roman" w:hAnsi="Times New Roman"/>
          <w:bCs/>
          <w:sz w:val="20"/>
          <w:szCs w:val="20"/>
          <w:u w:val="single"/>
          <w:lang w:eastAsia="en-US"/>
        </w:rPr>
        <w:t>devra décrire</w:t>
      </w:r>
      <w:r>
        <w:rPr>
          <w:rFonts w:eastAsia="Calibri" w:cs="Arial" w:ascii="Times New Roman" w:hAnsi="Times New Roman"/>
          <w:bCs/>
          <w:sz w:val="20"/>
          <w:szCs w:val="20"/>
          <w:lang w:eastAsia="en-US"/>
        </w:rPr>
        <w:t xml:space="preserve"> les éléments suivants  : </w:t>
        <w:br/>
        <w:t>- les caractéristiques techniques générales et la capacité des réservoirs ;</w:t>
        <w:br/>
        <w:t>- la mise en place des réservoirs ;</w:t>
        <w:br/>
        <w:t>- les dispositifs de sécurité intégrés ;</w:t>
        <w:br/>
        <w:t>- la robustesse et la durée de vie prévues des réservoirs ;</w:t>
        <w:br/>
        <w:t>- la stabilité d’alimentation en azote ,</w:t>
        <w:br/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lang w:eastAsia="en-US"/>
        </w:rPr>
        <w:t>- l</w:t>
      </w:r>
      <w:r>
        <w:rPr>
          <w:rFonts w:eastAsia="Calibri" w:cs="Arial" w:ascii="Times New Roman" w:hAnsi="Times New Roman"/>
          <w:b w:val="false"/>
          <w:bCs w:val="false"/>
          <w:sz w:val="20"/>
          <w:szCs w:val="20"/>
          <w:u w:val="none"/>
          <w:lang w:eastAsia="en-US"/>
        </w:rPr>
        <w:t>es performances thermiques garantissant l’efficacité de stockage et la sécurité opérationnelle.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eastAsia="Calibri" w:cs="Arial"/>
          <w:b w:val="false"/>
          <w:bCs w:val="false"/>
          <w:sz w:val="20"/>
          <w:szCs w:val="20"/>
          <w:u w:val="none"/>
          <w:lang w:eastAsia="en-US"/>
        </w:rPr>
      </w:pPr>
      <w:r>
        <w:rPr>
          <w:rFonts w:eastAsia="Calibri" w:cs="Arial"/>
          <w:b w:val="false"/>
          <w:bCs w:val="false"/>
          <w:sz w:val="20"/>
          <w:szCs w:val="20"/>
          <w:u w:val="none"/>
          <w:lang w:eastAsia="en-US"/>
        </w:rPr>
      </w:r>
    </w:p>
    <w:p>
      <w:pPr>
        <w:pStyle w:val="Contenudetableau"/>
        <w:jc w:val="both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vanish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vanish w:val="false"/>
          <w:sz w:val="20"/>
          <w:szCs w:val="20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Critère 4 : Garantie des délais : 5 points</w:t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Contenudetableauuser"/>
        <w:widowControl w:val="false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Garanties apportées en termes de délais d’approvisionnement </w:t>
      </w:r>
      <w:r>
        <w:rPr>
          <w:rFonts w:cs="Arial" w:ascii="Times New Roman" w:hAnsi="Times New Roman"/>
          <w:b/>
          <w:bCs/>
          <w:sz w:val="20"/>
          <w:szCs w:val="20"/>
          <w:u w:val="none"/>
        </w:rPr>
        <w:t>d’azote liquide sur 5 points</w:t>
      </w:r>
      <w:r>
        <w:rPr>
          <w:rFonts w:cs="Arial" w:ascii="Times New Roman" w:hAnsi="Times New Roman"/>
          <w:b/>
          <w:bCs/>
          <w:sz w:val="20"/>
          <w:szCs w:val="20"/>
        </w:rPr>
        <w:t>.</w:t>
      </w:r>
    </w:p>
    <w:p>
      <w:pPr>
        <w:pStyle w:val="Normal"/>
        <w:spacing w:before="0" w:after="160"/>
        <w:jc w:val="both"/>
        <w:rPr>
          <w:rFonts w:ascii="Arial" w:hAnsi="Arial" w:eastAsia="Calibri" w:cs="Arial"/>
          <w:bCs/>
          <w:sz w:val="20"/>
          <w:szCs w:val="20"/>
          <w:lang w:eastAsia="en-US"/>
        </w:rPr>
      </w:pPr>
      <w:r>
        <w:rPr>
          <w:rFonts w:eastAsia="Calibri" w:cs="Arial" w:ascii="Arial" w:hAnsi="Arial"/>
          <w:bCs/>
          <w:sz w:val="20"/>
          <w:szCs w:val="20"/>
          <w:lang w:eastAsia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after="160"/>
        <w:jc w:val="left"/>
        <w:rPr>
          <w:rFonts w:ascii="Times New Roman" w:hAnsi="Times New Roman" w:eastAsia="Calibri" w:cs="Arial"/>
          <w:bCs/>
          <w:sz w:val="20"/>
          <w:szCs w:val="20"/>
          <w:u w:val="none"/>
          <w:lang w:eastAsia="en-US"/>
        </w:rPr>
      </w:pPr>
      <w:r>
        <w:rPr>
          <w:rFonts w:eastAsia="Calibri" w:cs="Arial" w:ascii="Times New Roman" w:hAnsi="Times New Roman"/>
          <w:bCs/>
          <w:sz w:val="20"/>
          <w:szCs w:val="20"/>
          <w:u w:val="none"/>
          <w:lang w:eastAsia="en-US"/>
        </w:rPr>
        <w:t>Le soumissionnaire devra détailler sa capacité à assurer un approvisionnement dans les délais indiqués au CCTP (description de l’organisation mise en place en cas de pic de consommation notamment...)</w:t>
      </w:r>
    </w:p>
    <w:p>
      <w:pPr>
        <w:pStyle w:val="Contenudetableau"/>
        <w:jc w:val="both"/>
        <w:rPr>
          <w:rStyle w:val="Policepardfaut"/>
          <w:rFonts w:ascii="Times New Roman" w:hAnsi="Times New Roman" w:cs="Arial"/>
          <w:b/>
          <w:bCs/>
          <w:color w:val="000000"/>
          <w:sz w:val="12"/>
          <w:szCs w:val="12"/>
          <w:u w:val="none"/>
        </w:rPr>
      </w:pPr>
      <w:r>
        <w:rPr>
          <w:rFonts w:cs="Arial" w:ascii="Times New Roman" w:hAnsi="Times New Roman"/>
          <w:b/>
          <w:bCs/>
          <w:color w:val="000000"/>
          <w:sz w:val="12"/>
          <w:szCs w:val="12"/>
          <w:u w:val="none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Contenudetableau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0" w:top="1134" w:footer="1134" w:bottom="119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  <w:font w:name="Lohit Devanagari">
    <w:charset w:val="01"/>
    <w:family w:val="auto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 xml:space="preserve">Annexe 5 du </w:t>
    </w:r>
    <w:r>
      <w:rPr>
        <w:rFonts w:ascii="Times New Roman" w:hAnsi="Times New Roman"/>
        <w:sz w:val="22"/>
        <w:szCs w:val="22"/>
      </w:rPr>
      <w:t>RC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 xml:space="preserve">Annexe 5 du </w:t>
    </w:r>
    <w:r>
      <w:rPr>
        <w:rFonts w:ascii="Times New Roman" w:hAnsi="Times New Roman"/>
        <w:sz w:val="22"/>
        <w:szCs w:val="22"/>
      </w:rPr>
      <w:t>RC</w: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left"/>
      <w:rPr>
        <w:rFonts w:ascii="Arial" w:hAnsi="Arial"/>
      </w:rPr>
    </w:pPr>
    <w:r>
      <w:rPr>
        <w:rFonts w:ascii="Arial" w:hAnsi="Arial"/>
      </w:rPr>
    </w:r>
  </w:p>
  <w:p>
    <w:pPr>
      <w:pStyle w:val="Footer"/>
      <w:bidi w:val="0"/>
      <w:jc w:val="left"/>
      <w:rPr>
        <w:rFonts w:ascii="Arial" w:hAnsi="Arial"/>
      </w:rPr>
    </w:pPr>
    <w:r>
      <w:rPr>
        <w:rFonts w:ascii="Arial" w:hAnsi="Arial"/>
      </w:rPr>
    </w:r>
  </w:p>
  <w:p>
    <w:pPr>
      <w:pStyle w:val="Footer"/>
      <w:bidi w:val="0"/>
      <w:jc w:val="left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>Annexe 5 du</w:t>
    </w:r>
    <w:r>
      <w:rPr>
        <w:rFonts w:ascii="Times New Roman" w:hAnsi="Times New Roman"/>
        <w:sz w:val="22"/>
        <w:szCs w:val="22"/>
      </w:rPr>
      <w:t xml:space="preserve"> RC</w:t>
      <w:tab/>
      <w:t xml:space="preserve">Page </w:t>
    </w:r>
    <w:r>
      <w:rPr>
        <w:rFonts w:ascii="Times New Roman" w:hAnsi="Times New Roman"/>
        <w:sz w:val="22"/>
        <w:szCs w:val="22"/>
      </w:rPr>
      <w:fldChar w:fldCharType="begin"/>
    </w:r>
    <w:r>
      <w:rPr>
        <w:sz w:val="22"/>
        <w:szCs w:val="22"/>
        <w:rFonts w:ascii="Times New Roman" w:hAnsi="Times New Roman"/>
      </w:rPr>
      <w:instrText xml:space="preserve"> PAGE </w:instrText>
    </w:r>
    <w:r>
      <w:rPr>
        <w:sz w:val="22"/>
        <w:szCs w:val="22"/>
        <w:rFonts w:ascii="Times New Roman" w:hAnsi="Times New Roman"/>
      </w:rPr>
      <w:fldChar w:fldCharType="separate"/>
    </w:r>
    <w:r>
      <w:rPr>
        <w:sz w:val="22"/>
        <w:szCs w:val="22"/>
        <w:rFonts w:ascii="Times New Roman" w:hAnsi="Times New Roman"/>
      </w:rPr>
      <w:t>3</w:t>
    </w:r>
    <w:r>
      <w:rPr>
        <w:sz w:val="22"/>
        <w:szCs w:val="22"/>
        <w:rFonts w:ascii="Times New Roman" w:hAnsi="Times New Roman"/>
      </w:rPr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fr-FR" w:eastAsia="zh-CN" w:bidi="hi-IN"/>
    </w:rPr>
  </w:style>
  <w:style w:type="paragraph" w:styleId="Heading4">
    <w:name w:val="heading 4"/>
    <w:basedOn w:val="Normal"/>
    <w:next w:val="Normal"/>
    <w:qFormat/>
    <w:pPr>
      <w:keepNext w:val="true"/>
      <w:spacing w:before="0" w:after="0"/>
      <w:ind w:firstLine="900" w:left="0" w:right="0"/>
      <w:jc w:val="both"/>
    </w:pPr>
    <w:rPr>
      <w:b/>
      <w:bCs/>
      <w:i/>
      <w:iCs/>
      <w:u w:val="single"/>
    </w:rPr>
  </w:style>
  <w:style w:type="character" w:styleId="Strong">
    <w:name w:val="Strong"/>
    <w:qFormat/>
    <w:rPr>
      <w:b/>
      <w:bCs/>
    </w:rPr>
  </w:style>
  <w:style w:type="character" w:styleId="Policepardfaut">
    <w:name w:val="Police par défaut"/>
    <w:qFormat/>
    <w:rPr/>
  </w:style>
  <w:style w:type="character" w:styleId="Puces">
    <w:name w:val="Puces"/>
    <w:qFormat/>
    <w:rPr>
      <w:rFonts w:ascii="StarSymbol" w:hAnsi="StarSymbol" w:eastAsia="StarSymbol" w:cs="StarSymbol"/>
      <w:sz w:val="18"/>
      <w:szCs w:val="18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Footer">
    <w:name w:val="footer"/>
    <w:basedOn w:val="En-tteetpieddepageuser"/>
    <w:pPr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itations">
    <w:name w:val="Citations"/>
    <w:basedOn w:val="Normal"/>
    <w:qFormat/>
    <w:pPr>
      <w:suppressAutoHyphens w:val="true"/>
      <w:spacing w:before="0" w:after="283"/>
      <w:ind w:hanging="0" w:left="567" w:right="567"/>
    </w:pPr>
    <w:rPr/>
  </w:style>
  <w:style w:type="paragraph" w:styleId="TITRE1">
    <w:name w:val="TITRE1"/>
    <w:basedOn w:val="Heading4"/>
    <w:qFormat/>
    <w:pPr>
      <w:numPr>
        <w:ilvl w:val="1"/>
        <w:numId w:val="1"/>
      </w:numPr>
      <w:spacing w:before="227" w:after="227"/>
      <w:ind w:hanging="0" w:left="0" w:right="0"/>
      <w:outlineLvl w:val="1"/>
    </w:pPr>
    <w:rPr>
      <w:b/>
      <w:i w:val="false"/>
      <w:sz w:val="22"/>
    </w:rPr>
  </w:style>
  <w:style w:type="paragraph" w:styleId="Commentaire">
    <w:name w:val="Commentaire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PrformatHTML">
    <w:name w:val="Préformaté HTML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Contenudetableau">
    <w:name w:val="Contenu de tableau"/>
    <w:basedOn w:val="Normal"/>
    <w:qFormat/>
    <w:pPr>
      <w:widowControl w:val="false"/>
      <w:suppressLineNumbers/>
      <w:suppressAutoHyphens w:val="true"/>
    </w:pPr>
    <w:rPr/>
  </w:style>
  <w:style w:type="paragraph" w:styleId="Commentaireuser">
    <w:name w:val="Commentaire (user)"/>
    <w:qFormat/>
    <w:pPr>
      <w:widowControl/>
      <w:suppressAutoHyphens w:val="true"/>
      <w:bidi w:val="0"/>
      <w:spacing w:before="56" w:after="0"/>
      <w:ind w:left="56" w:right="56"/>
      <w:jc w:val="left"/>
    </w:pPr>
    <w:rPr>
      <w:rFonts w:ascii="Lohit Devanagari" w:hAnsi="Lohit Devanagari" w:eastAsia="Noto Serif CJK SC" w:cs="Lohit Devanagari"/>
      <w:color w:val="auto"/>
      <w:kern w:val="2"/>
      <w:sz w:val="20"/>
      <w:szCs w:val="24"/>
      <w:lang w:val="fr-F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959</TotalTime>
  <Application>LibreOffice/24.8.5.2$Linux_X86_64 LibreOffice_project/480$Build-2</Application>
  <AppVersion>15.0000</AppVersion>
  <Pages>3</Pages>
  <Words>500</Words>
  <Characters>2713</Characters>
  <CharactersWithSpaces>3191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2024-10-22T15:05:01Z</dcterms:created>
  <dc:creator/>
  <dc:description/>
  <dc:language>fr-FR</dc:language>
  <cp:lastModifiedBy/>
  <cp:lastPrinted>2026-03-05T13:14:43Z</cp:lastPrinted>
  <dcterms:modified xsi:type="dcterms:W3CDTF">2026-04-09T11:13:34Z</dcterms:modified>
  <cp:revision>135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